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1" w:rsidRPr="00472A61" w:rsidRDefault="00B24351" w:rsidP="00B24351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72A61">
        <w:rPr>
          <w:rFonts w:ascii="Times New Roman" w:hAnsi="Times New Roman"/>
          <w:bCs/>
          <w:i/>
          <w:sz w:val="24"/>
          <w:szCs w:val="24"/>
        </w:rPr>
        <w:t xml:space="preserve">Table1: </w:t>
      </w:r>
      <w:proofErr w:type="spellStart"/>
      <w:r w:rsidRPr="00472A61">
        <w:rPr>
          <w:rFonts w:ascii="Times New Roman" w:hAnsi="Times New Roman"/>
          <w:bCs/>
          <w:i/>
          <w:sz w:val="24"/>
          <w:szCs w:val="24"/>
        </w:rPr>
        <w:t>Sociodemographic</w:t>
      </w:r>
      <w:proofErr w:type="spellEnd"/>
      <w:r w:rsidRPr="00472A61">
        <w:rPr>
          <w:rFonts w:ascii="Times New Roman" w:hAnsi="Times New Roman"/>
          <w:bCs/>
          <w:i/>
          <w:sz w:val="24"/>
          <w:szCs w:val="24"/>
        </w:rPr>
        <w:t xml:space="preserve"> profile of the metro policemen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42"/>
      </w:tblGrid>
      <w:tr w:rsidR="00B24351" w:rsidRPr="00472A61" w:rsidTr="001A3222">
        <w:trPr>
          <w:trHeight w:val="553"/>
        </w:trPr>
        <w:tc>
          <w:tcPr>
            <w:tcW w:w="9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N        </w:t>
            </w:r>
            <w:r w:rsidRPr="00472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                                                                                                     </w:t>
            </w: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139</w:t>
            </w:r>
          </w:p>
        </w:tc>
      </w:tr>
      <w:tr w:rsidR="00B24351" w:rsidRPr="00472A61" w:rsidTr="001A3222">
        <w:tc>
          <w:tcPr>
            <w:tcW w:w="9242" w:type="dxa"/>
            <w:tcBorders>
              <w:left w:val="nil"/>
              <w:right w:val="nil"/>
            </w:tcBorders>
            <w:shd w:val="clear" w:color="auto" w:fill="FFFFFF"/>
          </w:tcPr>
          <w:p w:rsidR="00B24351" w:rsidRPr="00472A61" w:rsidRDefault="00B24351" w:rsidP="001A3222">
            <w:pPr>
              <w:tabs>
                <w:tab w:val="left" w:pos="56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Age (mean ±  SD) (years)                                                                       29.5 ± 6.35</w:t>
            </w:r>
          </w:p>
          <w:p w:rsidR="00B24351" w:rsidRPr="00472A61" w:rsidRDefault="00B24351" w:rsidP="001A322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Gender   [n (%)]  Females                                                                        72 (51.8)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        Males                                                                             67 (48.2)            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Race [n (%)]  Black                                                                                 108 (77.7)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 White                                                                                  16 (11.5)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Coloured                                                                              15 (10.8)                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B24351" w:rsidRPr="00472A61" w:rsidRDefault="00B24351" w:rsidP="001A3222">
            <w:pPr>
              <w:tabs>
                <w:tab w:val="left" w:pos="56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Level of Education [n (%)]      &lt; Grade 12                                                 1 (0.7)</w:t>
            </w:r>
          </w:p>
          <w:p w:rsidR="00B24351" w:rsidRPr="00472A61" w:rsidRDefault="00B24351" w:rsidP="001A322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                              Grade 12                                                 71 (51)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 xml:space="preserve">                                                 &gt;Grade 12                                                 67 (48.3)            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Previously Employed  [n(%)]                                                                     107 (77)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Smokers   [n(%)]                                                                                        111 (80)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Alcohol use   [n(%)]                                                                                    75 (53.9)</w:t>
            </w:r>
          </w:p>
          <w:p w:rsidR="00B24351" w:rsidRPr="00472A61" w:rsidRDefault="00B24351" w:rsidP="001A32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ZA"/>
              </w:rPr>
              <w:t>Other substances [n(%)]                                                                             2 (1)</w:t>
            </w:r>
            <w:r w:rsidRPr="00472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 </w:t>
            </w:r>
          </w:p>
        </w:tc>
      </w:tr>
    </w:tbl>
    <w:p w:rsidR="00B24351" w:rsidRPr="00472A61" w:rsidRDefault="00B24351" w:rsidP="00B2435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Default="00B24351" w:rsidP="00B24351">
      <w:pPr>
        <w:spacing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24351" w:rsidRPr="00472A61" w:rsidRDefault="00B24351" w:rsidP="00B24351">
      <w:pPr>
        <w:jc w:val="both"/>
        <w:rPr>
          <w:rFonts w:ascii="Times New Roman" w:hAnsi="Times New Roman"/>
          <w:bCs/>
          <w:sz w:val="24"/>
          <w:szCs w:val="24"/>
        </w:rPr>
      </w:pPr>
      <w:r w:rsidRPr="00472A61">
        <w:rPr>
          <w:rFonts w:ascii="Times New Roman" w:hAnsi="Times New Roman"/>
          <w:bCs/>
          <w:i/>
          <w:sz w:val="24"/>
          <w:szCs w:val="24"/>
        </w:rPr>
        <w:lastRenderedPageBreak/>
        <w:t>Table 2: Traumatic Events Experienced by subjects prior to entry into the Police Force</w:t>
      </w:r>
    </w:p>
    <w:tbl>
      <w:tblPr>
        <w:tblpPr w:leftFromText="180" w:rightFromText="180" w:vertAnchor="text" w:horzAnchor="margin" w:tblpY="751"/>
        <w:tblW w:w="0" w:type="auto"/>
        <w:tblLayout w:type="fixed"/>
        <w:tblLook w:val="0000"/>
      </w:tblPr>
      <w:tblGrid>
        <w:gridCol w:w="3794"/>
        <w:gridCol w:w="2551"/>
      </w:tblGrid>
      <w:tr w:rsidR="00B24351" w:rsidRPr="00472A61" w:rsidTr="001A3222">
        <w:trPr>
          <w:trHeight w:val="85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24351" w:rsidRPr="00472A61" w:rsidRDefault="00B24351" w:rsidP="00B2435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4351" w:rsidRPr="00472A61" w:rsidRDefault="00B24351" w:rsidP="00B2435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Trauma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4351" w:rsidRPr="00472A61" w:rsidRDefault="00B24351" w:rsidP="00B2435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4351" w:rsidRPr="00472A61" w:rsidRDefault="00B24351" w:rsidP="00B2435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Number of Subjects </w:t>
            </w:r>
          </w:p>
        </w:tc>
      </w:tr>
      <w:tr w:rsidR="00B24351" w:rsidRPr="00472A61" w:rsidTr="001A3222">
        <w:trPr>
          <w:trHeight w:val="502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Witnessed someone being injured or killed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24351" w:rsidRPr="00472A61" w:rsidTr="001A3222">
        <w:trPr>
          <w:trHeight w:val="35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Crime victim: assault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Crime victim: partner violence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Crime victim: rape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24351" w:rsidRPr="00472A61" w:rsidTr="001A3222">
        <w:trPr>
          <w:trHeight w:val="475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Crime victim: other sexual assault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Political trauma: combat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Political trauma: civilian in war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Disaster: Natural disaster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Disaster: manmade disaster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4351" w:rsidRPr="00472A61" w:rsidTr="001A3222">
        <w:trPr>
          <w:trHeight w:val="457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Unexpected death of loved one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24351" w:rsidRPr="00472A61" w:rsidTr="001A3222">
        <w:trPr>
          <w:trHeight w:val="646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Loved one with life threatening illness or injury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4351" w:rsidRPr="00472A61" w:rsidTr="001A3222">
        <w:trPr>
          <w:trHeight w:val="802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*Traumatic Event  experienced by  close other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24351" w:rsidRPr="00472A61" w:rsidTr="001A3222">
        <w:trPr>
          <w:trHeight w:val="344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Life threatening Illness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4351" w:rsidRPr="00472A61" w:rsidTr="001A3222">
        <w:trPr>
          <w:trHeight w:val="515"/>
        </w:trPr>
        <w:tc>
          <w:tcPr>
            <w:tcW w:w="3794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Motor Vehicle Accident: witnessed</w:t>
            </w:r>
          </w:p>
        </w:tc>
        <w:tc>
          <w:tcPr>
            <w:tcW w:w="2551" w:type="dxa"/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24351" w:rsidRPr="00472A61" w:rsidTr="001A3222">
        <w:trPr>
          <w:trHeight w:val="35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Motor Vehicle Accident: experienced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24351" w:rsidRPr="00472A61" w:rsidRDefault="00B24351" w:rsidP="001A3222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351" w:rsidRPr="00472A61" w:rsidRDefault="00B24351" w:rsidP="00B2435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</w:p>
    <w:p w:rsidR="00B24351" w:rsidRDefault="00B24351" w:rsidP="00B24351">
      <w:pPr>
        <w:tabs>
          <w:tab w:val="left" w:pos="78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sz w:val="24"/>
          <w:szCs w:val="24"/>
        </w:rPr>
        <w:lastRenderedPageBreak/>
        <w:t>*</w:t>
      </w:r>
      <w:r w:rsidRPr="00472A61">
        <w:rPr>
          <w:rFonts w:ascii="Times New Roman" w:hAnsi="Times New Roman"/>
          <w:i/>
          <w:sz w:val="24"/>
          <w:szCs w:val="24"/>
        </w:rPr>
        <w:t>The category “traumatic event experienced by a close other” refers to those traumatic events experienced by others to whom one is close, other than a life threatening illness or injury.</w:t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1820"/>
        </w:tabs>
        <w:spacing w:line="72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ZA"/>
        </w:rPr>
        <w:drawing>
          <wp:inline distT="0" distB="0" distL="0" distR="0">
            <wp:extent cx="5745480" cy="363029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4351" w:rsidRPr="00472A61" w:rsidRDefault="00B24351" w:rsidP="00B24351">
      <w:pPr>
        <w:tabs>
          <w:tab w:val="left" w:pos="1820"/>
        </w:tabs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1 Family History and Previous Contact with Psychological Services</w:t>
      </w: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spacing w:line="72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ZA"/>
        </w:rPr>
        <w:drawing>
          <wp:inline distT="0" distB="0" distL="0" distR="0">
            <wp:extent cx="5499735" cy="3193415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4351" w:rsidRPr="00472A61" w:rsidRDefault="00B24351" w:rsidP="00B24351">
      <w:pPr>
        <w:spacing w:line="720" w:lineRule="auto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2(a) MCMI III: Distribution of Clinical Patterns</w:t>
      </w:r>
    </w:p>
    <w:p w:rsidR="00B24351" w:rsidRDefault="00B24351" w:rsidP="00B24351">
      <w:pPr>
        <w:spacing w:line="720" w:lineRule="auto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spacing w:line="720" w:lineRule="auto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5486400" cy="320738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2(b). MCMI III: Distribution of Clinical Syndromes</w:t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5486400" cy="320738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2(c). MCMI III: Distribution of Severe Syndromes</w:t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5486400" cy="320738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4351" w:rsidRPr="00472A61" w:rsidRDefault="00B24351" w:rsidP="00B24351">
      <w:pPr>
        <w:spacing w:line="720" w:lineRule="auto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2(d). MCMI III: Distribution of Severe Pathology</w:t>
      </w:r>
    </w:p>
    <w:p w:rsidR="00B24351" w:rsidRPr="00472A61" w:rsidRDefault="00B24351" w:rsidP="00B24351">
      <w:pPr>
        <w:tabs>
          <w:tab w:val="left" w:pos="7852"/>
        </w:tabs>
        <w:spacing w:line="720" w:lineRule="auto"/>
        <w:rPr>
          <w:rFonts w:ascii="Times New Roman" w:hAnsi="Times New Roman"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en-ZA"/>
        </w:rPr>
        <w:drawing>
          <wp:inline distT="0" distB="0" distL="0" distR="0">
            <wp:extent cx="5486400" cy="3207385"/>
            <wp:effectExtent l="0" t="0" r="0" b="0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72A61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B24351" w:rsidRPr="00472A61" w:rsidRDefault="00B24351" w:rsidP="00B24351">
      <w:pPr>
        <w:spacing w:line="720" w:lineRule="auto"/>
        <w:jc w:val="both"/>
        <w:rPr>
          <w:rFonts w:ascii="Times New Roman" w:hAnsi="Times New Roman"/>
          <w:i/>
          <w:sz w:val="24"/>
          <w:szCs w:val="24"/>
        </w:rPr>
      </w:pPr>
      <w:r w:rsidRPr="00472A61">
        <w:rPr>
          <w:rFonts w:ascii="Times New Roman" w:hAnsi="Times New Roman"/>
          <w:i/>
          <w:sz w:val="24"/>
          <w:szCs w:val="24"/>
        </w:rPr>
        <w:t>Figure 3: HAM-D scores of Subjects upon entry in the Metro Police Force</w:t>
      </w:r>
    </w:p>
    <w:p w:rsidR="00534150" w:rsidRDefault="00534150"/>
    <w:sectPr w:rsidR="00534150" w:rsidSect="0053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20"/>
  <w:characterSpacingControl w:val="doNotCompress"/>
  <w:compat/>
  <w:rsids>
    <w:rsidRoot w:val="00B24351"/>
    <w:rsid w:val="000034E3"/>
    <w:rsid w:val="00016184"/>
    <w:rsid w:val="00027F2B"/>
    <w:rsid w:val="00045B15"/>
    <w:rsid w:val="00080964"/>
    <w:rsid w:val="000C387A"/>
    <w:rsid w:val="000D0F83"/>
    <w:rsid w:val="000E18CA"/>
    <w:rsid w:val="000F5328"/>
    <w:rsid w:val="000F6DEF"/>
    <w:rsid w:val="00114902"/>
    <w:rsid w:val="00124A80"/>
    <w:rsid w:val="00135827"/>
    <w:rsid w:val="00145DE3"/>
    <w:rsid w:val="00152712"/>
    <w:rsid w:val="0015664A"/>
    <w:rsid w:val="001979A0"/>
    <w:rsid w:val="001A6CFF"/>
    <w:rsid w:val="001B19F3"/>
    <w:rsid w:val="001C4B7F"/>
    <w:rsid w:val="001C59D9"/>
    <w:rsid w:val="001E349C"/>
    <w:rsid w:val="001F2CF2"/>
    <w:rsid w:val="001F7BA5"/>
    <w:rsid w:val="00227D30"/>
    <w:rsid w:val="00244999"/>
    <w:rsid w:val="0025080B"/>
    <w:rsid w:val="00250958"/>
    <w:rsid w:val="00251236"/>
    <w:rsid w:val="00256B06"/>
    <w:rsid w:val="00270DF3"/>
    <w:rsid w:val="00287303"/>
    <w:rsid w:val="002A2C1E"/>
    <w:rsid w:val="002B4208"/>
    <w:rsid w:val="002F096C"/>
    <w:rsid w:val="00310B53"/>
    <w:rsid w:val="003133CE"/>
    <w:rsid w:val="0031737E"/>
    <w:rsid w:val="00317894"/>
    <w:rsid w:val="00320C57"/>
    <w:rsid w:val="00326C22"/>
    <w:rsid w:val="003775FF"/>
    <w:rsid w:val="00385441"/>
    <w:rsid w:val="003944D7"/>
    <w:rsid w:val="00395F8E"/>
    <w:rsid w:val="003C23D5"/>
    <w:rsid w:val="003D5EC5"/>
    <w:rsid w:val="003E6805"/>
    <w:rsid w:val="0040564A"/>
    <w:rsid w:val="00407223"/>
    <w:rsid w:val="00422974"/>
    <w:rsid w:val="00446599"/>
    <w:rsid w:val="00450956"/>
    <w:rsid w:val="0045407A"/>
    <w:rsid w:val="00457549"/>
    <w:rsid w:val="004677C0"/>
    <w:rsid w:val="004703BD"/>
    <w:rsid w:val="004863F0"/>
    <w:rsid w:val="0049646C"/>
    <w:rsid w:val="004A222A"/>
    <w:rsid w:val="004A6F7B"/>
    <w:rsid w:val="004E46F0"/>
    <w:rsid w:val="004F3B11"/>
    <w:rsid w:val="004F4844"/>
    <w:rsid w:val="005153C3"/>
    <w:rsid w:val="005238ED"/>
    <w:rsid w:val="005265B1"/>
    <w:rsid w:val="00534150"/>
    <w:rsid w:val="00542BEA"/>
    <w:rsid w:val="005548EA"/>
    <w:rsid w:val="00563ADE"/>
    <w:rsid w:val="00563F9F"/>
    <w:rsid w:val="005655D8"/>
    <w:rsid w:val="00567947"/>
    <w:rsid w:val="005746F2"/>
    <w:rsid w:val="00594E9F"/>
    <w:rsid w:val="005A0254"/>
    <w:rsid w:val="005C1CE5"/>
    <w:rsid w:val="005D407D"/>
    <w:rsid w:val="005D5565"/>
    <w:rsid w:val="005D72AB"/>
    <w:rsid w:val="005F0C59"/>
    <w:rsid w:val="005F6545"/>
    <w:rsid w:val="006105F9"/>
    <w:rsid w:val="00620943"/>
    <w:rsid w:val="006422D7"/>
    <w:rsid w:val="00685EF3"/>
    <w:rsid w:val="006879F0"/>
    <w:rsid w:val="006923CC"/>
    <w:rsid w:val="00693F16"/>
    <w:rsid w:val="00694EDA"/>
    <w:rsid w:val="006B1276"/>
    <w:rsid w:val="006B1759"/>
    <w:rsid w:val="006D7DD0"/>
    <w:rsid w:val="006F2F94"/>
    <w:rsid w:val="00704CA3"/>
    <w:rsid w:val="00706B0A"/>
    <w:rsid w:val="007113B9"/>
    <w:rsid w:val="007150BE"/>
    <w:rsid w:val="00750E80"/>
    <w:rsid w:val="007812F5"/>
    <w:rsid w:val="0079097E"/>
    <w:rsid w:val="00795946"/>
    <w:rsid w:val="007A50A2"/>
    <w:rsid w:val="007D160B"/>
    <w:rsid w:val="007D5A75"/>
    <w:rsid w:val="00817735"/>
    <w:rsid w:val="008401C0"/>
    <w:rsid w:val="008C2099"/>
    <w:rsid w:val="008C549F"/>
    <w:rsid w:val="008E0D7E"/>
    <w:rsid w:val="008E4C33"/>
    <w:rsid w:val="008F1021"/>
    <w:rsid w:val="00901A88"/>
    <w:rsid w:val="0090423A"/>
    <w:rsid w:val="00905087"/>
    <w:rsid w:val="00917A3C"/>
    <w:rsid w:val="00930784"/>
    <w:rsid w:val="0093286E"/>
    <w:rsid w:val="0094431E"/>
    <w:rsid w:val="009461E1"/>
    <w:rsid w:val="009666C5"/>
    <w:rsid w:val="00974BD8"/>
    <w:rsid w:val="00992585"/>
    <w:rsid w:val="009A34C1"/>
    <w:rsid w:val="009B3D6E"/>
    <w:rsid w:val="009C0AA8"/>
    <w:rsid w:val="009D3360"/>
    <w:rsid w:val="009D4DFE"/>
    <w:rsid w:val="009D77D2"/>
    <w:rsid w:val="00A131AE"/>
    <w:rsid w:val="00A13ED9"/>
    <w:rsid w:val="00A15533"/>
    <w:rsid w:val="00A2204A"/>
    <w:rsid w:val="00A434E7"/>
    <w:rsid w:val="00AA46D3"/>
    <w:rsid w:val="00AB6518"/>
    <w:rsid w:val="00AB7B0F"/>
    <w:rsid w:val="00AE4913"/>
    <w:rsid w:val="00B1489B"/>
    <w:rsid w:val="00B24351"/>
    <w:rsid w:val="00B32884"/>
    <w:rsid w:val="00B360D3"/>
    <w:rsid w:val="00B45063"/>
    <w:rsid w:val="00B66272"/>
    <w:rsid w:val="00B77430"/>
    <w:rsid w:val="00B82640"/>
    <w:rsid w:val="00B85790"/>
    <w:rsid w:val="00B9759B"/>
    <w:rsid w:val="00BA6DDE"/>
    <w:rsid w:val="00BB2862"/>
    <w:rsid w:val="00BE0877"/>
    <w:rsid w:val="00BE5C4D"/>
    <w:rsid w:val="00C07EE3"/>
    <w:rsid w:val="00C4344F"/>
    <w:rsid w:val="00C45EFE"/>
    <w:rsid w:val="00C50B02"/>
    <w:rsid w:val="00CB6A7A"/>
    <w:rsid w:val="00CC73CA"/>
    <w:rsid w:val="00CF24ED"/>
    <w:rsid w:val="00CF643E"/>
    <w:rsid w:val="00CF7B44"/>
    <w:rsid w:val="00D10AFA"/>
    <w:rsid w:val="00D258A3"/>
    <w:rsid w:val="00D3330F"/>
    <w:rsid w:val="00D46743"/>
    <w:rsid w:val="00D47DA7"/>
    <w:rsid w:val="00D52F3A"/>
    <w:rsid w:val="00D64821"/>
    <w:rsid w:val="00D66C7E"/>
    <w:rsid w:val="00D67005"/>
    <w:rsid w:val="00D70420"/>
    <w:rsid w:val="00D707F9"/>
    <w:rsid w:val="00D83A7E"/>
    <w:rsid w:val="00D9486F"/>
    <w:rsid w:val="00DA05FE"/>
    <w:rsid w:val="00DA0DBD"/>
    <w:rsid w:val="00DA7737"/>
    <w:rsid w:val="00DB5744"/>
    <w:rsid w:val="00DC2106"/>
    <w:rsid w:val="00DC4F20"/>
    <w:rsid w:val="00DF0CDE"/>
    <w:rsid w:val="00E061EE"/>
    <w:rsid w:val="00E07256"/>
    <w:rsid w:val="00E27157"/>
    <w:rsid w:val="00E562BD"/>
    <w:rsid w:val="00E71BAC"/>
    <w:rsid w:val="00E75987"/>
    <w:rsid w:val="00E91F8B"/>
    <w:rsid w:val="00EA00E5"/>
    <w:rsid w:val="00EA72C8"/>
    <w:rsid w:val="00EB7E8B"/>
    <w:rsid w:val="00EC1A4F"/>
    <w:rsid w:val="00EF614A"/>
    <w:rsid w:val="00F05795"/>
    <w:rsid w:val="00F07095"/>
    <w:rsid w:val="00F11AC4"/>
    <w:rsid w:val="00F27A4D"/>
    <w:rsid w:val="00F40E7A"/>
    <w:rsid w:val="00F62582"/>
    <w:rsid w:val="00F645B2"/>
    <w:rsid w:val="00F701BF"/>
    <w:rsid w:val="00FA252B"/>
    <w:rsid w:val="00FB62D9"/>
    <w:rsid w:val="00FD137D"/>
    <w:rsid w:val="00FD696F"/>
    <w:rsid w:val="00FF08F3"/>
    <w:rsid w:val="00FF31BE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51"/>
    <w:pPr>
      <w:spacing w:before="100" w:beforeAutospacing="1" w:after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3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 Yes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11.0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Fam Hist</c:v>
                </c:pt>
                <c:pt idx="1">
                  <c:v>Hist Suicide</c:v>
                </c:pt>
                <c:pt idx="2">
                  <c:v>Hist Alcohol</c:v>
                </c:pt>
                <c:pt idx="3">
                  <c:v>Prev Contact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3.5</c:v>
                </c:pt>
                <c:pt idx="1">
                  <c:v>7.2</c:v>
                </c:pt>
                <c:pt idx="2">
                  <c:v>19.399999999999999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No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89.0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Fam Hist</c:v>
                </c:pt>
                <c:pt idx="1">
                  <c:v>Hist Suicide</c:v>
                </c:pt>
                <c:pt idx="2">
                  <c:v>Hist Alcohol</c:v>
                </c:pt>
                <c:pt idx="3">
                  <c:v>Prev Contact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96.5</c:v>
                </c:pt>
                <c:pt idx="1">
                  <c:v>92.8</c:v>
                </c:pt>
                <c:pt idx="2">
                  <c:v>80.599999999999994</c:v>
                </c:pt>
                <c:pt idx="3">
                  <c:v>89</c:v>
                </c:pt>
              </c:numCache>
            </c:numRef>
          </c:val>
        </c:ser>
        <c:gapWidth val="75"/>
        <c:overlap val="-25"/>
        <c:axId val="129736064"/>
        <c:axId val="131119360"/>
      </c:barChart>
      <c:catAx>
        <c:axId val="129736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31119360"/>
        <c:crosses val="autoZero"/>
        <c:auto val="1"/>
        <c:lblAlgn val="ctr"/>
        <c:lblOffset val="100"/>
      </c:catAx>
      <c:valAx>
        <c:axId val="131119360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ZA" sz="1100" b="0"/>
                  <a:t>Percentage</a:t>
                </a:r>
                <a:r>
                  <a:rPr lang="en-ZA" sz="1100" b="0" baseline="0"/>
                  <a:t> (%)</a:t>
                </a:r>
                <a:endParaRPr lang="en-ZA" sz="1100" b="0"/>
              </a:p>
            </c:rich>
          </c:tx>
        </c:title>
        <c:numFmt formatCode="General" sourceLinked="1"/>
        <c:majorTickMark val="none"/>
        <c:tickLblPos val="nextTo"/>
        <c:spPr>
          <a:ln w="9528">
            <a:noFill/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129736064"/>
        <c:crosses val="autoZero"/>
        <c:crossBetween val="between"/>
      </c:valAx>
    </c:plotArea>
    <c:legend>
      <c:legendPos val="b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txPr>
    <a:bodyPr/>
    <a:lstStyle/>
    <a:p>
      <a:pPr>
        <a:defRPr sz="1801"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Clinical Patterns BR &gt; 74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Narcissistic</c:v>
                </c:pt>
                <c:pt idx="1">
                  <c:v>Depressive</c:v>
                </c:pt>
                <c:pt idx="2">
                  <c:v>Dependent</c:v>
                </c:pt>
                <c:pt idx="3">
                  <c:v>Avoidant</c:v>
                </c:pt>
                <c:pt idx="4">
                  <c:v>Schizoid</c:v>
                </c:pt>
                <c:pt idx="5">
                  <c:v>Aggressive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32.4</c:v>
                </c:pt>
                <c:pt idx="1">
                  <c:v>34.5</c:v>
                </c:pt>
                <c:pt idx="2">
                  <c:v>28.7</c:v>
                </c:pt>
                <c:pt idx="3">
                  <c:v>23.7</c:v>
                </c:pt>
                <c:pt idx="4">
                  <c:v>29.7</c:v>
                </c:pt>
                <c:pt idx="5">
                  <c:v>11.5</c:v>
                </c:pt>
              </c:numCache>
            </c:numRef>
          </c:val>
        </c:ser>
        <c:axId val="138689152"/>
        <c:axId val="138723712"/>
      </c:barChart>
      <c:catAx>
        <c:axId val="138689152"/>
        <c:scaling>
          <c:orientation val="minMax"/>
        </c:scaling>
        <c:axPos val="b"/>
        <c:numFmt formatCode="General" sourceLinked="1"/>
        <c:majorTickMark val="none"/>
        <c:tickLblPos val="nextTo"/>
        <c:crossAx val="138723712"/>
        <c:crosses val="autoZero"/>
        <c:auto val="1"/>
        <c:lblAlgn val="ctr"/>
        <c:lblOffset val="100"/>
      </c:catAx>
      <c:valAx>
        <c:axId val="1387237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Percentage (%)</a:t>
                </a:r>
              </a:p>
            </c:rich>
          </c:tx>
        </c:title>
        <c:numFmt formatCode="General" sourceLinked="1"/>
        <c:majorTickMark val="none"/>
        <c:tickLblPos val="nextTo"/>
        <c:crossAx val="13868915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Clinical Syndromes BR &gt;74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 5.5</a:t>
                    </a:r>
                  </a:p>
                </c:rich>
              </c:tx>
              <c:spPr/>
            </c:dLbl>
            <c:showVal val="1"/>
          </c:dLbls>
          <c:cat>
            <c:strRef>
              <c:f>Sheet1!$A$2:$A$7</c:f>
              <c:strCache>
                <c:ptCount val="6"/>
                <c:pt idx="0">
                  <c:v>Anxiety</c:v>
                </c:pt>
                <c:pt idx="1">
                  <c:v>Dysthymia</c:v>
                </c:pt>
                <c:pt idx="2">
                  <c:v>PTSD</c:v>
                </c:pt>
                <c:pt idx="3">
                  <c:v>Somatoform</c:v>
                </c:pt>
                <c:pt idx="4">
                  <c:v>Bipolar</c:v>
                </c:pt>
                <c:pt idx="5">
                  <c:v>Alcohol Dependence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64.7</c:v>
                </c:pt>
                <c:pt idx="1">
                  <c:v>23.7</c:v>
                </c:pt>
                <c:pt idx="2">
                  <c:v>8.3000000000000007</c:v>
                </c:pt>
                <c:pt idx="3">
                  <c:v>6.2</c:v>
                </c:pt>
                <c:pt idx="4">
                  <c:v>14.4</c:v>
                </c:pt>
                <c:pt idx="5">
                  <c:v>5.5</c:v>
                </c:pt>
              </c:numCache>
            </c:numRef>
          </c:val>
        </c:ser>
        <c:axId val="147060608"/>
        <c:axId val="148386560"/>
      </c:barChart>
      <c:catAx>
        <c:axId val="147060608"/>
        <c:scaling>
          <c:orientation val="minMax"/>
        </c:scaling>
        <c:axPos val="b"/>
        <c:numFmt formatCode="General" sourceLinked="1"/>
        <c:majorTickMark val="none"/>
        <c:tickLblPos val="nextTo"/>
        <c:crossAx val="148386560"/>
        <c:crosses val="autoZero"/>
        <c:auto val="1"/>
        <c:lblAlgn val="ctr"/>
        <c:lblOffset val="100"/>
      </c:catAx>
      <c:valAx>
        <c:axId val="1483865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Percentage (%)</a:t>
                </a:r>
              </a:p>
            </c:rich>
          </c:tx>
        </c:title>
        <c:numFmt formatCode="General" sourceLinked="1"/>
        <c:majorTickMark val="none"/>
        <c:tickLblPos val="nextTo"/>
        <c:crossAx val="14706060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Severe Syndromes BR&gt;74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  <c:showSerName val="1"/>
            </c:dLbl>
            <c:showVal val="1"/>
          </c:dLbls>
          <c:cat>
            <c:strRef>
              <c:f>Sheet1!$A$2:$A$5</c:f>
              <c:strCache>
                <c:ptCount val="3"/>
                <c:pt idx="0">
                  <c:v>Delusional</c:v>
                </c:pt>
                <c:pt idx="1">
                  <c:v>Major Depression</c:v>
                </c:pt>
                <c:pt idx="2">
                  <c:v>Thought Disorder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15.8</c:v>
                </c:pt>
                <c:pt idx="1">
                  <c:v>10.3</c:v>
                </c:pt>
                <c:pt idx="2">
                  <c:v>4.0999999999999996</c:v>
                </c:pt>
              </c:numCache>
            </c:numRef>
          </c:val>
        </c:ser>
        <c:axId val="151199104"/>
        <c:axId val="151209088"/>
      </c:barChart>
      <c:catAx>
        <c:axId val="151199104"/>
        <c:scaling>
          <c:orientation val="minMax"/>
        </c:scaling>
        <c:axPos val="b"/>
        <c:numFmt formatCode="General" sourceLinked="1"/>
        <c:majorTickMark val="none"/>
        <c:tickLblPos val="nextTo"/>
        <c:crossAx val="151209088"/>
        <c:crosses val="autoZero"/>
        <c:auto val="1"/>
        <c:lblAlgn val="ctr"/>
        <c:lblOffset val="100"/>
      </c:catAx>
      <c:valAx>
        <c:axId val="1512090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Percentage (%)</a:t>
                </a:r>
              </a:p>
            </c:rich>
          </c:tx>
        </c:title>
        <c:numFmt formatCode="General" sourceLinked="1"/>
        <c:majorTickMark val="none"/>
        <c:tickLblPos val="nextTo"/>
        <c:crossAx val="151199104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1"/>
  <c:chart>
    <c:title>
      <c:tx>
        <c:rich>
          <a:bodyPr/>
          <a:lstStyle/>
          <a:p>
            <a:pPr>
              <a:defRPr/>
            </a:pPr>
            <a:r>
              <a:rPr lang="en-ZA"/>
              <a:t>Severe Pathology BR&gt;74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Paranoid</c:v>
                </c:pt>
                <c:pt idx="1">
                  <c:v>Schizoid</c:v>
                </c:pt>
                <c:pt idx="2">
                  <c:v>Schizotypal</c:v>
                </c:pt>
                <c:pt idx="3">
                  <c:v>Borderline</c:v>
                </c:pt>
                <c:pt idx="4">
                  <c:v>Dysthymia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33.1</c:v>
                </c:pt>
                <c:pt idx="1">
                  <c:v>0.70000000000000018</c:v>
                </c:pt>
                <c:pt idx="2">
                  <c:v>10.3</c:v>
                </c:pt>
                <c:pt idx="3">
                  <c:v>15.9</c:v>
                </c:pt>
                <c:pt idx="4">
                  <c:v>1.4</c:v>
                </c:pt>
              </c:numCache>
            </c:numRef>
          </c:val>
        </c:ser>
        <c:axId val="151269376"/>
        <c:axId val="151272832"/>
      </c:barChart>
      <c:catAx>
        <c:axId val="151269376"/>
        <c:scaling>
          <c:orientation val="minMax"/>
        </c:scaling>
        <c:axPos val="b"/>
        <c:numFmt formatCode="General" sourceLinked="1"/>
        <c:majorTickMark val="none"/>
        <c:tickLblPos val="nextTo"/>
        <c:crossAx val="151272832"/>
        <c:crosses val="autoZero"/>
        <c:auto val="1"/>
        <c:lblAlgn val="ctr"/>
        <c:lblOffset val="100"/>
      </c:catAx>
      <c:valAx>
        <c:axId val="1512728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Percentage (%)</a:t>
                </a:r>
              </a:p>
            </c:rich>
          </c:tx>
        </c:title>
        <c:numFmt formatCode="General" sourceLinked="1"/>
        <c:majorTickMark val="none"/>
        <c:tickLblPos val="nextTo"/>
        <c:crossAx val="1512693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Categories of Depression according to the HAM-D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No Depression</c:v>
                </c:pt>
                <c:pt idx="1">
                  <c:v>Minor Depression</c:v>
                </c:pt>
                <c:pt idx="2">
                  <c:v>Less than Major depression</c:v>
                </c:pt>
                <c:pt idx="3">
                  <c:v>Major Depression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87.8</c:v>
                </c:pt>
                <c:pt idx="1">
                  <c:v>9.4</c:v>
                </c:pt>
                <c:pt idx="2">
                  <c:v>1.4</c:v>
                </c:pt>
                <c:pt idx="3">
                  <c:v>0.70000000000000018</c:v>
                </c:pt>
              </c:numCache>
            </c:numRef>
          </c:val>
        </c:ser>
        <c:axId val="151512960"/>
        <c:axId val="151532288"/>
      </c:barChart>
      <c:catAx>
        <c:axId val="151512960"/>
        <c:scaling>
          <c:orientation val="minMax"/>
        </c:scaling>
        <c:axPos val="b"/>
        <c:numFmt formatCode="General" sourceLinked="1"/>
        <c:majorTickMark val="none"/>
        <c:tickLblPos val="nextTo"/>
        <c:crossAx val="151532288"/>
        <c:crosses val="autoZero"/>
        <c:auto val="1"/>
        <c:lblAlgn val="ctr"/>
        <c:lblOffset val="100"/>
      </c:catAx>
      <c:valAx>
        <c:axId val="1515322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 b="0"/>
                  <a:t>Percentage (%)</a:t>
                </a:r>
              </a:p>
            </c:rich>
          </c:tx>
        </c:title>
        <c:numFmt formatCode="General" sourceLinked="1"/>
        <c:majorTickMark val="none"/>
        <c:tickLblPos val="nextTo"/>
        <c:crossAx val="151512960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0.81818</cdr:x>
      <cdr:y>0.97442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 flipV="1">
          <a:off x="4426517" y="3480505"/>
          <a:ext cx="983683" cy="91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ZA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TextBox 2"/>
        <cdr:cNvSpPr txBox="1"/>
      </cdr:nvSpPr>
      <cdr:spPr>
        <a:xfrm xmlns:a="http://schemas.openxmlformats.org/drawingml/2006/main" flipH="1">
          <a:off x="0" y="0"/>
          <a:ext cx="0" cy="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ZA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Subramaney</dc:creator>
  <cp:lastModifiedBy>Subramaney</cp:lastModifiedBy>
  <cp:revision>1</cp:revision>
  <dcterms:created xsi:type="dcterms:W3CDTF">2012-08-06T09:37:00Z</dcterms:created>
  <dcterms:modified xsi:type="dcterms:W3CDTF">2012-08-06T09:41:00Z</dcterms:modified>
</cp:coreProperties>
</file>